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2" w:rsidRDefault="00AB49E0" w:rsidP="002520BD">
      <w:pPr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1680882" cy="1905000"/>
            <wp:effectExtent l="0" t="0" r="0" b="0"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886"/>
      </w:tblGrid>
      <w:tr w:rsidR="00145D97" w:rsidTr="00FB22D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F2545" w:rsidRPr="00AC030C" w:rsidRDefault="00AB49E0" w:rsidP="00B5787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0" w:name="_Toc387648652"/>
            <w:r w:rsidRPr="00AC030C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Краткая информация об автомобиле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AC030C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</w:t>
            </w:r>
            <w:r w:rsidRPr="00AC030C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4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AC030C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0"/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Кабина Super Space Cab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 подвеска кабины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Цвет кабины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H3279WHTE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водителя: Comfort Air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 второго водителя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Сиденье вт.водителя: базовая комплектация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 xml:space="preserve">Антенны: Аудиоподготовка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DAB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, 2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x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GSM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GPS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адаптивного круиз-контроля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 xml:space="preserve">Система адаптивного круиз-контроля с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FCW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AEBS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AC030C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Система предупр. о покид. полосы движения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Нет системы предупр. о покид. полосы движения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Передняя: 8,00 т, параболическая, 163N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Задняя ось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 xml:space="preserve">Задняя: 13,00 т, пневматическая подвеска,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SR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1344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поставщика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Goodyear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1 передние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F1,315/70R22.5GO  KMAXS2 156/150 L Steering CB72-2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 1 задние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R1,315/70R22.5GO  KMAXD2 154/150 L Traction CB72-1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Запасная шина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SP, неприменимо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Двигатель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Двиг. MX-13, 355 кВт/483 л.с. Эмблема на каб.: 480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Выброс отработавших газов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Соответствует Euro 5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 коробки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Автоматическая КП, TraXon, 12-ступенчатая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Коробка передач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12-ступенчатая, TraXon 12TX2210 DD, 16,69-1,00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 число задней оси 2,38.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 замедлителя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MX Engine Brake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Колесная база / задний свес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Колесная база 3,80 м / задний свес 0,99 м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Расположение компонентов шасси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Стандартное расположение компонентов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выхлопной трубы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Выхлопная труба горизонтальная, низкая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EAS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 xml:space="preserve">Блок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EAS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с правой стороны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 бак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Алюм. топл. баки 845+430л с подножкой, выс. 620мм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 топливного бака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Топливный баки слева и справа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AC030C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Положение и содержимое бака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 xml:space="preserve">Бак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 90 л на левом брызговике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AC030C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Отсек аккумул.батареи и кронштейн зап.колеса</w:t>
            </w: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АКБ на заднем свесе, без кронштейна зап. колеса</w:t>
            </w:r>
          </w:p>
        </w:tc>
      </w:tr>
      <w:tr w:rsidR="00145D97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B49E0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Гарантия на автомобиль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AC030C" w:rsidRDefault="00AB49E0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  <w:t>Стандарт. гарантия-1г полн-2-й г транс-1г поломка</w:t>
            </w:r>
          </w:p>
        </w:tc>
      </w:tr>
    </w:tbl>
    <w:p w:rsidR="00325E48" w:rsidRPr="00AC030C" w:rsidRDefault="00860D49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</w:pPr>
    </w:p>
    <w:p w:rsidR="001F2545" w:rsidRPr="00AC030C" w:rsidRDefault="00860D49" w:rsidP="00AC030C">
      <w:pPr>
        <w:rPr>
          <w:rFonts w:ascii="Arial" w:hAnsi="Arial" w:cs="Arial"/>
          <w:lang w:val="ru-RU"/>
        </w:rPr>
        <w:sectPr w:rsidR="001F2545" w:rsidRPr="00AC030C" w:rsidSect="00097197">
          <w:headerReference w:type="default" r:id="rId13"/>
          <w:footerReference w:type="default" r:id="rId14"/>
          <w:pgSz w:w="11906" w:h="16838"/>
          <w:pgMar w:top="1701" w:right="680" w:bottom="1418" w:left="1021" w:header="709" w:footer="454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145D97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AC030C" w:rsidRDefault="00AB49E0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1" w:name="_GoBack_0"/>
            <w:bookmarkStart w:id="2" w:name="_Toc387648653"/>
            <w:bookmarkEnd w:id="1"/>
            <w:r w:rsidRPr="00AC030C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lastRenderedPageBreak/>
              <w:t xml:space="preserve">Спецификация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AC030C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</w:t>
            </w:r>
            <w:r w:rsidRPr="00AC030C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4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AC030C"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                 </w:t>
            </w:r>
            <w:r>
              <w:rPr>
                <w:rStyle w:val="Heading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2"/>
          </w:p>
        </w:tc>
      </w:tr>
      <w:tr w:rsidR="00145D97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AC030C" w:rsidRDefault="00860D49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Super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Space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гальванизированным стальным бампером, тонированным стеклом и электростеклоподъемниками. Основные зеркала и широкоугольные зеркала с электрическим подогревом. Ширина кабины 2490 мм.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Необслуживаемое 4-точечная механическая подвеска кабины с встроенными амортизаторами.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зеленого цвета.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Дневные ходовые огни с четырьмя светодиодами с обеих сторон, встроены в блок-фары.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Установленные на бампер блок-фары с комбинированными противотуманными фарами и фонарями освещения поворотов.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Фонари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Skylights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 Две стильные блок-фары, каждая с крупным рассеивателем, полностью интегрированные в угловые элементы крыши кабины. Каждый осветительный прибор имеет две точечные лампы и два боковых сигнала.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Центральный замок с функцией проверки наружного освещения. Включает 2 пульта дистанционного управления со встроенным механическим ключом с выдвижным механизмом.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Фиксированный спойлер крыши для оптимальной аэродинамики между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Super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Space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надстройкой или полуприцепом.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Боковые обтекатели. Неподвижные за воздухозаборником (с правой стороны), шарнирные с левой стороны.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Обтекатели шасси.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панели фар и бампера: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Нижняя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ступенька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Brilliant White,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ступеньки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крылья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</w:rPr>
                    <w:t xml:space="preserve"> Stone Grey.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Воздухозаборник, дверные ручки и кожухи зеркал черные для цвета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 боковых обтекателей: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 обтекателей шасси: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Рулевое колесо черное, мягкая отделка черного цвета.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внутренней отделки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Dark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Внутренняя декоративная отделка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Piano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Black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Текстильная обивка дверей.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Подлокотник сиденья водителя.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Холодильный ящик 42 л с удобной ручкой под алюминий 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под нижним спальным местом.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Место для хранения под нижним спальным местом: слева - герметичный отсек емкостью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бутылок в передней части и выдвижной ящик емкостью 65 л с регулируемой перегородкой рядом с холодильником. 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Разделители используются под матрасом для дополнительной вентиляции для отвода влаги из холодильника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Защитная сетка на нижнем и верхнем спальных местах/полке для багажа.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Шторки ветрового стекла и боковых стекол.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Автоматический контроль температуры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и кондиционирование воздуха.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 автоматически поддерживает температуру в кабине, выбранную водителем.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Водо-воздушный дополнительный обогреватель кабины и подогрев двигателя 6 кВт с насосом остаточного тепла и таймером.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Фильтр пыльцы с активированным углем для удаления отработавших газов и неприятных запахов от двигателя и встречного транспорта. Эффективность 85% для частиц размером до 0,5 микрон и 98% для частиц размером до 10 микрон.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Питание дополнительного оборудования консоли крыши 12 В/20 А и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24 В/15 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Дистанционное управление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ECAS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подсветкой кнопок для различных функций, включая кнопки сохраненных настроек высоты шасси.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Универсальный разъем FMS.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Цифровой тахограф,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VDO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DTCO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соответствует нормативу ЕС для тахографов, приложение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Настройка ограничителя скорости для круиз-контроля 85 км/ч. Педаль акселератора 85 км/ч с включенным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; 90 км/ч с выключенным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-проигрыватель. Акустическая система с 2 динамиками.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экстренного реагирования: дорожная система экстренного реагирования, которая объединяет в себе мобильную связь и спутниковое определение положения для оказания оперативной помощи водителю в случае столкновения.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Аудиоподготовка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антеннами для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DAB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адаптивного круиз-контроля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ACC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 Включает функцию предупреждения о возможном столкновении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FCW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 и расширенную аварийную систему торможения 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AEBS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Driver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Performance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Assistant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Интерактивная система помощи водителю для выработки наиболее эффективной 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манеры вождения. Информация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отображается на 5-дюймовом цветном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TFT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-дисплее на щитке приборов.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 для повышения безопасности во время движения. Улучшенная курсовая устойчивость (недостаточная или избыточная поворачиваемость, складывание автопоезда) и дополнительная защита от опрокидывания.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Базовый иммобилайзер двигателя.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163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подвеска с амортизаторами и стабилизатором.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8,0 тонн.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1344 с регулируемой пневматической подвеской с электронным управлением и 4 пневмобаллонами, включая амортизаторы и стабилизатор.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Задняя подвеска в исполнении с встроенной функцией направляющей и стабилизатора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Stabilink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мониторинга нагрузки на ось: рассчитывает и выводит на дисплей значения нагрузок на оси автомобиля и (полу)прицепа (если (полу)прицеп оборудован системой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EBS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датчиком нагрузки на ось).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Поставщик Goodyear.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156/150,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C - сцепление с мокрым дорожным покрытием B - шум 72 дБ(A)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KMAXD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154/150,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для региональных перевозок.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 шин: сопротивление качению C - сцепление с мокрым дорожным покрытием B - шум 72 дБ(A)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-13, 6-цилиндровый дизельный двигатель с несколькими значениями крутящего момента, 12,9 л. Мощность 355 кВт (483 л.с.) при 1600 об/мин.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Максимальный крутящий момент 2500 Нм при 900-1125 об/мин.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Автоматическая коробка передач,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TraXon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12-ступенчатая.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Автоматическая коробка передач с прямой высшей передачей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TraXon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TX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2210, передаточное число 16,69-1,00, 12-ступенчатая.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Передаточное число задней оси 2,38.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 блокировка дифференциала.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-топливо: Настройки управления скоростью автомобиля в режиме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 определяются на основании критерия 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топливной экономичности. Для повышения производительности автомобиля с учетом эффективности использования топлива настройку наибольшей экономии топлива, которая выбирается автоматически, можно временно отключить, нажав кнопку выключения режима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Программное обеспечение автоматической коробки передач, оптимизированное для выполнения стандартных транспортных задач.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Версия управления коробкой передач: Full.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Высота лонжерона 260 мм, толщина 6,0 мм.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Отсутствует внутреннее усиление.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через низкий диффузор отработавших газов.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Блок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EAS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расположенный с правой стороны шасси.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Алюминиевые топливные баки со встроенной подножкой 845+430 л, высота 620 мм.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Топливные баки с обеих сторон шасси.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ступенькой, версия из двух элементов. Длина бокового мостика со стороны ступеньки варьируется до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100 см; длина закрытой секции между лонжеронами шасси ок. 80 см.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Боковой мостик со ступенькой с левой стороны.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Бак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AdBlue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90 л над левым брызговиком.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Отсек аккумуляторной батареи на заднем свесе.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Отсутствует кронштейн запасного колеса.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Одна тормозная колодка согласно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DIN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76051, установлена на заднем свесе.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Задний фонарь с лампами.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Jost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JSK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чугун, высота 185 мм с опорной плитой 12 мм.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Опорная плита седельно-сцепного устройства, стандартная.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Диаметр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Профиль седельно-сцепного устройства, стандартной длины.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15-контактным разъемом. Кабель освещения / дополнительного оборудования с 15-контактными разъемами,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Ящик для хранения оборудования подсоединения прицепа позади кабины для простого и надежного хранения неиспользуемых пневматических шлангов и электрических кабелей.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Pr="00AC030C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lastRenderedPageBreak/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). 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Подготовка рамы шасси для стандартного применения.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120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контроля заряда аккумуляторной батареи измеряет напряжение, силу тока и температуру и передает данные об уровне заряда. При критическом уровне заряда аккумуляторной батареи отображается предупреждение во избежание поломки автомобиля в дороге.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Pr="00AC030C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C030C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84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20500 кг по массе шасси.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 типа стандартная.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 уровень шума.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ambient temperature 45 degrees.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Предварительный топливный фильтр с подогревом.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Высокий воздухозаборник.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Подготовка для подогрева двигателя, включающая нагревательный элемент в охлаждающей жидкости двигателя.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6F2ACE" w:rsidRPr="00EC5878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145D97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145D97" w:rsidRDefault="00AB49E0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145D97" w:rsidTr="00A229C7">
              <w:tc>
                <w:tcPr>
                  <w:tcW w:w="0" w:type="auto"/>
                </w:tcPr>
                <w:p w:rsidR="006F2ACE" w:rsidRPr="00EC5878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Набор инструментов Восточная Европа.</w:t>
                  </w:r>
                </w:p>
              </w:tc>
            </w:tr>
            <w:tr w:rsidR="00145D97" w:rsidTr="00A229C7">
              <w:tc>
                <w:tcPr>
                  <w:tcW w:w="0" w:type="auto"/>
                </w:tcPr>
                <w:p w:rsidR="006F2ACE" w:rsidRPr="00AC030C" w:rsidRDefault="00AB49E0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AC030C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AC030C" w:rsidRDefault="00860D49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</w:tbl>
    <w:p w:rsidR="006F2ACE" w:rsidRPr="00AC030C" w:rsidRDefault="00AB49E0" w:rsidP="006F2ACE">
      <w:pPr>
        <w:pStyle w:val="Normal0"/>
        <w:rPr>
          <w:rFonts w:ascii="Arial" w:hAnsi="Arial" w:cs="Arial"/>
          <w:lang w:val="ru-RU"/>
        </w:rPr>
      </w:pPr>
      <w:r w:rsidRPr="00AC030C">
        <w:rPr>
          <w:rFonts w:ascii="Arial" w:hAnsi="Arial" w:cs="Arial"/>
          <w:lang w:val="ru-RU"/>
        </w:rPr>
        <w:br w:type="page"/>
      </w:r>
      <w:bookmarkStart w:id="3" w:name="_GoBack"/>
      <w:bookmarkEnd w:id="3"/>
    </w:p>
    <w:sectPr w:rsidR="006F2ACE" w:rsidRPr="00AC030C" w:rsidSect="008F2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49" w:rsidRDefault="00860D49">
      <w:pPr>
        <w:spacing w:after="0" w:line="240" w:lineRule="auto"/>
      </w:pPr>
      <w:r>
        <w:separator/>
      </w:r>
    </w:p>
  </w:endnote>
  <w:endnote w:type="continuationSeparator" w:id="0">
    <w:p w:rsidR="00860D49" w:rsidRDefault="0086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60532B" w:rsidRDefault="00AB49E0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89041C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6432" behindDoc="1" locked="0" layoutInCell="1" allowOverlap="1" wp14:anchorId="02B7F5DE" wp14:editId="665FF826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7561580" cy="723265"/>
          <wp:effectExtent l="0" t="0" r="127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4384" behindDoc="1" locked="0" layoutInCell="1" allowOverlap="1" wp14:anchorId="0ABFB3FC" wp14:editId="77687D6C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2336" behindDoc="0" locked="0" layoutInCell="1" allowOverlap="1" wp14:anchorId="7EA07EE2" wp14:editId="6E309E9B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B403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1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B403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7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|   </w:t>
    </w:r>
    <w:sdt>
      <w:sdtPr>
        <w:rPr>
          <w:color w:val="FFFFFF" w:themeColor="background1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4035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2019-10-07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0288" behindDoc="1" locked="0" layoutInCell="1" allowOverlap="1" wp14:anchorId="5A419FE9" wp14:editId="22A09460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0568DB7B" wp14:editId="22B89E6E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D0363518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7" w:rsidRDefault="00145D97">
    <w:pPr>
      <w:pStyle w:val="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C6636B" w:rsidRDefault="00AB49E0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B912D4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7456" behindDoc="1" locked="0" layoutInCell="1" allowOverlap="1" wp14:anchorId="23D6FEA3" wp14:editId="09F37DFF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7620000" cy="723900"/>
          <wp:effectExtent l="0" t="0" r="0" b="0"/>
          <wp:wrapNone/>
          <wp:docPr id="2081600309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5408" behindDoc="1" locked="0" layoutInCell="1" allowOverlap="1" wp14:anchorId="5D355DC0" wp14:editId="635A7ED7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79664198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3360" behindDoc="0" locked="0" layoutInCell="1" allowOverlap="1" wp14:anchorId="21C0F41F" wp14:editId="0261FFF7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148221804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B403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6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B40359">
      <w:rPr>
        <w:rFonts w:ascii="Arial" w:hAnsi="Arial" w:cs="Arial"/>
        <w:b/>
        <w:bCs/>
        <w:noProof/>
        <w:color w:val="FFFFFF" w:themeColor="background1"/>
        <w:sz w:val="18"/>
        <w:szCs w:val="18"/>
      </w:rPr>
      <w:t>7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|   </w:t>
    </w:r>
    <w:sdt>
      <w:sdtPr>
        <w:rPr>
          <w:color w:val="FFFFFF" w:themeColor="background1"/>
        </w:rPr>
        <w:id w:val="508049189"/>
        <w:docPartObj>
          <w:docPartGallery w:val="Page Numbers (Top of Page)"/>
          <w:docPartUnique/>
        </w:docPartObj>
      </w:sdtPr>
      <w:sdtEndPr/>
      <w:sdtContent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28EBD4E4" wp14:editId="7A52EBBE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382370150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5A2ACBB6" wp14:editId="36D5F057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1686799639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4035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2019-10-07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D0363518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7" w:rsidRDefault="00145D97">
    <w:pPr>
      <w:pStyle w:val="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49" w:rsidRDefault="00860D49">
      <w:pPr>
        <w:spacing w:after="0" w:line="240" w:lineRule="auto"/>
      </w:pPr>
      <w:r>
        <w:separator/>
      </w:r>
    </w:p>
  </w:footnote>
  <w:footnote w:type="continuationSeparator" w:id="0">
    <w:p w:rsidR="00860D49" w:rsidRDefault="0086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145D97" w:rsidTr="008C76F4">
      <w:tc>
        <w:tcPr>
          <w:tcW w:w="7905" w:type="dxa"/>
        </w:tcPr>
        <w:p w:rsidR="000F4830" w:rsidRPr="00036864" w:rsidRDefault="00B40359" w:rsidP="001D73DF">
          <w:pPr>
            <w:ind w:left="68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KAZAKHSTAN</w:t>
          </w:r>
        </w:p>
      </w:tc>
    </w:tr>
  </w:tbl>
  <w:p w:rsidR="00C138D8" w:rsidRDefault="00860D49" w:rsidP="007A635C">
    <w:pPr>
      <w:pStyle w:val="a3"/>
      <w:ind w:left="-141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7" w:rsidRDefault="00145D97">
    <w:pPr>
      <w:pStyle w:val="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345"/>
    </w:tblGrid>
    <w:tr w:rsidR="00145D97" w:rsidTr="001B1854">
      <w:tc>
        <w:tcPr>
          <w:tcW w:w="10345" w:type="dxa"/>
        </w:tcPr>
        <w:p w:rsidR="00C138D8" w:rsidRPr="00FE20CB" w:rsidRDefault="00B40359" w:rsidP="0008444D">
          <w:pPr>
            <w:pStyle w:val="Normal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KAZAKHSTAN</w:t>
          </w:r>
        </w:p>
      </w:tc>
    </w:tr>
  </w:tbl>
  <w:p w:rsidR="00C138D8" w:rsidRDefault="00860D49" w:rsidP="007A635C">
    <w:pPr>
      <w:pStyle w:val="Header0"/>
      <w:ind w:left="-1417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97" w:rsidRDefault="00145D97">
    <w:pPr>
      <w:pStyle w:val="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4738"/>
    <w:multiLevelType w:val="hybridMultilevel"/>
    <w:tmpl w:val="777E92BE"/>
    <w:lvl w:ilvl="0" w:tplc="702A9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18D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564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2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8D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05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23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C3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E7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4014A3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D6E12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4837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220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7E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CC1C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86A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C67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49F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0248C9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354C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3A4C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D496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9AFA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C04D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400E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487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2A84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006CA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9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2B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E9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6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CD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8C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43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46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2B64E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C663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C037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C6F0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04D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3084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A686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BC4D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A8F7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E6060C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4A0B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8B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CD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3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AF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C8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D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66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2E247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BDCF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49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44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6D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28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A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C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2C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F16204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33CD6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140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1A8B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2E14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240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1E72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BCDB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CAFD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7"/>
    <w:rsid w:val="00145D97"/>
    <w:rsid w:val="00860D49"/>
    <w:rsid w:val="00AB49E0"/>
    <w:rsid w:val="00AC030C"/>
    <w:rsid w:val="00B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A21A-53F2-4D99-BD05-76823CF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Normal0">
    <w:name w:val="Normal_0"/>
    <w:qFormat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Normal0"/>
    <w:link w:val="Header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0">
    <w:name w:val="Header Char_0"/>
    <w:basedOn w:val="a0"/>
    <w:link w:val="Header0"/>
    <w:uiPriority w:val="99"/>
    <w:rsid w:val="00FE580A"/>
  </w:style>
  <w:style w:type="paragraph" w:customStyle="1" w:styleId="Footer0">
    <w:name w:val="Footer_0"/>
    <w:basedOn w:val="Normal0"/>
    <w:link w:val="Footer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0">
    <w:name w:val="Footer Char_0"/>
    <w:basedOn w:val="a0"/>
    <w:link w:val="Footer0"/>
    <w:uiPriority w:val="99"/>
    <w:rsid w:val="00FE580A"/>
  </w:style>
  <w:style w:type="character" w:customStyle="1" w:styleId="Heading1Char0">
    <w:name w:val="Heading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Heading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9635B-03D6-4898-A632-0F2AD5E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Summary</vt:lpstr>
      <vt:lpstr>IST Proposal Example</vt:lpstr>
    </vt:vector>
  </TitlesOfParts>
  <Company>DAF Trucks N.V.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Summary</dc:title>
  <dc:creator>DAF Trucks N.V.</dc:creator>
  <cp:lastModifiedBy>HP</cp:lastModifiedBy>
  <cp:revision>7</cp:revision>
  <cp:lastPrinted>2014-04-14T09:39:00Z</cp:lastPrinted>
  <dcterms:created xsi:type="dcterms:W3CDTF">2017-10-10T09:03:00Z</dcterms:created>
  <dcterms:modified xsi:type="dcterms:W3CDTF">2019-10-07T06:26:00Z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